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заключения 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C75505" w:rsidTr="00C75505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505" w:rsidRDefault="00C7550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  Главе  </w:t>
            </w:r>
            <w:proofErr w:type="spellStart"/>
            <w:r>
              <w:rPr>
                <w:lang w:eastAsia="en-US"/>
              </w:rPr>
              <w:t>Меркуловского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C75505" w:rsidRDefault="00C755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>
              <w:rPr>
                <w:lang w:eastAsia="en-US"/>
              </w:rPr>
              <w:t>Мутилину</w:t>
            </w:r>
            <w:proofErr w:type="spellEnd"/>
            <w:r>
              <w:rPr>
                <w:lang w:eastAsia="en-US"/>
              </w:rPr>
              <w:t xml:space="preserve"> А.А.__</w:t>
            </w:r>
          </w:p>
          <w:p w:rsidR="00C75505" w:rsidRDefault="00C755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Меркуловой Н.Г.специалиста Администрации__</w:t>
            </w:r>
          </w:p>
          <w:p w:rsidR="00C75505" w:rsidRDefault="00C755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(Ф.И.О., должность работника Администрации)</w:t>
            </w:r>
          </w:p>
        </w:tc>
      </w:tr>
    </w:tbl>
    <w:p w:rsidR="00C75505" w:rsidRDefault="00C75505" w:rsidP="00C75505">
      <w:pPr>
        <w:jc w:val="center"/>
      </w:pPr>
      <w:r>
        <w:t>ЗАКЛЮЧЕНИЕ</w:t>
      </w: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Постановления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gramStart"/>
      <w:r>
        <w:rPr>
          <w:sz w:val="22"/>
          <w:szCs w:val="22"/>
        </w:rPr>
        <w:t>–О</w:t>
      </w:r>
      <w:proofErr w:type="gramEnd"/>
      <w:r>
        <w:rPr>
          <w:sz w:val="22"/>
          <w:szCs w:val="22"/>
        </w:rPr>
        <w:t xml:space="preserve">б утверждении Административного регламента по предоставлению  муниципальной услуги </w:t>
      </w: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«Утверждение схемы расположения земельного участка на кадастровом плане или кадастровой    карте соответствующей территории не занятой  зданиями, строениями, сооружениями» №29 от 12.03.2014г</w:t>
      </w:r>
    </w:p>
    <w:p w:rsidR="00C75505" w:rsidRDefault="00C75505" w:rsidP="00C75505">
      <w:pPr>
        <w:pBdr>
          <w:top w:val="single" w:sz="4" w:space="1" w:color="auto"/>
        </w:pBdr>
        <w:spacing w:after="240"/>
        <w:jc w:val="center"/>
      </w:pPr>
      <w:r>
        <w:t>(реквизиты муниципального правового акта либо наименование проекта правового акта)</w:t>
      </w: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Администрацией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 нормативных правовых актов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и их проектов  проведена экспертиза</w:t>
      </w:r>
      <w:proofErr w:type="gramEnd"/>
      <w:r>
        <w:rPr>
          <w:sz w:val="22"/>
          <w:szCs w:val="22"/>
        </w:rPr>
        <w:t xml:space="preserve">  НП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 Постановления Администрации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 - Об утверждении Административного регламента по предоставлению  муниципальной услуги «Утверждение схемы расположения земельного участка на кадастровом плане или кадастровой    карте соответствующей территории под зданиями, строениями, сооружениями»</w:t>
      </w: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Содержащиеся в  НПА положения достаточны для достижения цели  правового регулирования.</w:t>
      </w: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В проекте НПА не выявлено внутренних противоречий и пробелов в правовом регулировании общественных отношений.</w:t>
      </w: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Правила  юридической техники соблюдены.</w:t>
      </w: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 учетом изложенного,  Постановление  - Об утверждении Административного регламента по предоставлению  муниципальной услуги – «Утверждение схемы расположения земельного участка на кадастровом плане или кадастровой    карте соответствующей территории под зданиями, строениями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сооружениями»»</w:t>
      </w: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,разработано в соответствии с компетенцией Администрации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поселения. В  НПА  имеются нормы о порядке вступления его в силу.</w:t>
      </w: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представленном   Постановлении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</w:t>
      </w:r>
      <w:proofErr w:type="gramStart"/>
      <w:r>
        <w:rPr>
          <w:sz w:val="22"/>
          <w:szCs w:val="22"/>
        </w:rPr>
        <w:t xml:space="preserve">  О</w:t>
      </w:r>
      <w:proofErr w:type="gramEnd"/>
      <w:r>
        <w:rPr>
          <w:sz w:val="22"/>
          <w:szCs w:val="22"/>
        </w:rPr>
        <w:t>б утверждении Административного регламента по предоставлению  муниципальной услуги «Утверждение схемы расположения земельного участка на кадастровом плане или кадастровой    карте соответствующей территории под зданиями, строениями, сооружениями»№29 от 12.03.2014г</w:t>
      </w:r>
    </w:p>
    <w:p w:rsidR="00C75505" w:rsidRDefault="00C75505" w:rsidP="00C7550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коррупциогенные</w:t>
      </w:r>
      <w:proofErr w:type="spellEnd"/>
      <w:r>
        <w:rPr>
          <w:sz w:val="22"/>
          <w:szCs w:val="22"/>
        </w:rPr>
        <w:t xml:space="preserve">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C75505" w:rsidTr="00C7550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5505" w:rsidRDefault="00C755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C75505" w:rsidRDefault="00C755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505" w:rsidRDefault="00C755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C75505" w:rsidRDefault="00C755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5505" w:rsidRDefault="00C755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Н.Г.Меркулова</w:t>
            </w:r>
          </w:p>
        </w:tc>
      </w:tr>
      <w:tr w:rsidR="00C75505" w:rsidTr="00C75505">
        <w:tc>
          <w:tcPr>
            <w:tcW w:w="3289" w:type="dxa"/>
            <w:hideMark/>
          </w:tcPr>
          <w:p w:rsidR="00C75505" w:rsidRDefault="00C755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C75505" w:rsidRDefault="00C755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hideMark/>
          </w:tcPr>
          <w:p w:rsidR="00C75505" w:rsidRDefault="00C755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C75505" w:rsidRDefault="00C755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C75505" w:rsidRDefault="00C755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C75505" w:rsidRDefault="00C75505" w:rsidP="00C75505">
      <w:pPr>
        <w:widowControl w:val="0"/>
        <w:outlineLvl w:val="0"/>
        <w:rPr>
          <w:rFonts w:eastAsia="Times New Roman"/>
        </w:rPr>
      </w:pPr>
    </w:p>
    <w:p w:rsidR="00C75505" w:rsidRDefault="00C75505" w:rsidP="00C75505"/>
    <w:p w:rsidR="00B32CDD" w:rsidRDefault="00B32CDD"/>
    <w:sectPr w:rsidR="00B3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505"/>
    <w:rsid w:val="00B32CDD"/>
    <w:rsid w:val="00C7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2014-03-18T11:53:00Z</dcterms:created>
  <dcterms:modified xsi:type="dcterms:W3CDTF">2014-03-18T11:55:00Z</dcterms:modified>
</cp:coreProperties>
</file>